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74299" w14:textId="77777777" w:rsidR="00EC03A5" w:rsidRPr="00DC7DC9" w:rsidRDefault="00EC03A5" w:rsidP="007A4A8C">
      <w:pPr>
        <w:spacing w:after="0"/>
        <w:rPr>
          <w:rFonts w:cstheme="minorHAnsi"/>
          <w:b/>
        </w:rPr>
      </w:pPr>
      <w:bookmarkStart w:id="0" w:name="_GoBack"/>
      <w:bookmarkEnd w:id="0"/>
    </w:p>
    <w:p w14:paraId="77528AF2" w14:textId="77777777" w:rsidR="000B01A4" w:rsidRDefault="00DC4C91" w:rsidP="000B01A4">
      <w:pPr>
        <w:pStyle w:val="ListParagraph"/>
        <w:numPr>
          <w:ilvl w:val="0"/>
          <w:numId w:val="1"/>
        </w:numPr>
        <w:spacing w:after="0"/>
        <w:rPr>
          <w:rFonts w:cstheme="minorHAnsi"/>
        </w:rPr>
      </w:pPr>
      <w:r w:rsidRPr="00DC7DC9">
        <w:rPr>
          <w:rFonts w:cstheme="minorHAnsi"/>
        </w:rPr>
        <w:t>Working group n</w:t>
      </w:r>
      <w:r w:rsidR="000B01A4" w:rsidRPr="00DC7DC9">
        <w:rPr>
          <w:rFonts w:cstheme="minorHAnsi"/>
        </w:rPr>
        <w:t>ame:</w:t>
      </w:r>
    </w:p>
    <w:p w14:paraId="34A95BEE" w14:textId="77777777" w:rsidR="007C50BC" w:rsidRPr="00DC7DC9" w:rsidRDefault="007C50BC" w:rsidP="007C50BC">
      <w:pPr>
        <w:pStyle w:val="ListParagraph"/>
        <w:spacing w:after="0"/>
        <w:rPr>
          <w:rFonts w:cstheme="minorHAnsi"/>
        </w:rPr>
      </w:pPr>
    </w:p>
    <w:p w14:paraId="60387BC5" w14:textId="77777777" w:rsidR="003622A8" w:rsidRPr="00FD59B3" w:rsidRDefault="00DC7DC9" w:rsidP="00DC7DC9">
      <w:pPr>
        <w:spacing w:after="0"/>
        <w:ind w:left="720"/>
        <w:rPr>
          <w:rFonts w:cstheme="minorHAnsi"/>
          <w:i/>
          <w:color w:val="2E74B5" w:themeColor="accent1" w:themeShade="BF"/>
        </w:rPr>
      </w:pPr>
      <w:r w:rsidRPr="00DC7DC9">
        <w:rPr>
          <w:rFonts w:cstheme="minorHAnsi"/>
        </w:rPr>
        <w:t xml:space="preserve"> </w:t>
      </w:r>
      <w:r w:rsidRPr="00FD59B3">
        <w:rPr>
          <w:rFonts w:cstheme="minorHAnsi"/>
          <w:i/>
          <w:color w:val="2E74B5" w:themeColor="accent1" w:themeShade="BF"/>
        </w:rPr>
        <w:t>Operations - Production/ Manufacturing</w:t>
      </w:r>
    </w:p>
    <w:p w14:paraId="71F12B40" w14:textId="77777777" w:rsidR="000B01A4" w:rsidRPr="00DC7DC9" w:rsidRDefault="002F74B7" w:rsidP="000B01A4">
      <w:pPr>
        <w:pStyle w:val="ListParagraph"/>
        <w:spacing w:after="0"/>
        <w:rPr>
          <w:rFonts w:cstheme="minorHAnsi"/>
        </w:rPr>
      </w:pPr>
      <w:r>
        <w:rPr>
          <w:rFonts w:cstheme="minorHAnsi"/>
        </w:rPr>
        <w:tab/>
      </w:r>
    </w:p>
    <w:p w14:paraId="4C152BAA" w14:textId="77777777" w:rsidR="007746E2" w:rsidRDefault="00DC4C91" w:rsidP="007A4A8C">
      <w:pPr>
        <w:pStyle w:val="ListParagraph"/>
        <w:numPr>
          <w:ilvl w:val="0"/>
          <w:numId w:val="1"/>
        </w:numPr>
        <w:spacing w:after="0"/>
        <w:rPr>
          <w:rFonts w:cstheme="minorHAnsi"/>
        </w:rPr>
      </w:pPr>
      <w:r w:rsidRPr="00DC7DC9">
        <w:rPr>
          <w:rFonts w:cstheme="minorHAnsi"/>
        </w:rPr>
        <w:t>Individual s</w:t>
      </w:r>
      <w:r w:rsidR="007746E2" w:rsidRPr="00DC7DC9">
        <w:rPr>
          <w:rFonts w:cstheme="minorHAnsi"/>
        </w:rPr>
        <w:t xml:space="preserve">ponsor(s): </w:t>
      </w:r>
    </w:p>
    <w:p w14:paraId="6338E482" w14:textId="77777777" w:rsidR="007C50BC" w:rsidRPr="00DC7DC9" w:rsidRDefault="007C50BC" w:rsidP="007C50BC">
      <w:pPr>
        <w:pStyle w:val="ListParagraph"/>
        <w:spacing w:after="0"/>
        <w:rPr>
          <w:rFonts w:cstheme="minorHAnsi"/>
        </w:rPr>
      </w:pPr>
    </w:p>
    <w:p w14:paraId="18A34192" w14:textId="77777777" w:rsidR="00C62309" w:rsidRDefault="00C62309" w:rsidP="00DC7DC9">
      <w:pPr>
        <w:pStyle w:val="ListParagraph"/>
        <w:spacing w:after="0"/>
        <w:rPr>
          <w:rFonts w:cstheme="minorHAnsi"/>
          <w:i/>
          <w:color w:val="0070C0"/>
        </w:rPr>
      </w:pPr>
      <w:r>
        <w:rPr>
          <w:rFonts w:cstheme="minorHAnsi"/>
          <w:i/>
          <w:color w:val="0070C0"/>
        </w:rPr>
        <w:t>Tommy Robinson, Deputy Police Chief, Reno Police Department</w:t>
      </w:r>
    </w:p>
    <w:p w14:paraId="4A17388F" w14:textId="77777777" w:rsidR="00DC7DC9" w:rsidRPr="00353063" w:rsidRDefault="00DC7DC9" w:rsidP="00DC7DC9">
      <w:pPr>
        <w:pStyle w:val="ListParagraph"/>
        <w:spacing w:after="0"/>
        <w:rPr>
          <w:rFonts w:cstheme="minorHAnsi"/>
          <w:i/>
          <w:color w:val="0070C0"/>
        </w:rPr>
      </w:pPr>
      <w:r w:rsidRPr="00353063">
        <w:rPr>
          <w:rFonts w:cstheme="minorHAnsi"/>
          <w:i/>
          <w:color w:val="0070C0"/>
        </w:rPr>
        <w:t>Alex Woodley</w:t>
      </w:r>
      <w:r w:rsidR="007C50BC" w:rsidRPr="00353063">
        <w:rPr>
          <w:rFonts w:cstheme="minorHAnsi"/>
          <w:i/>
          <w:color w:val="0070C0"/>
        </w:rPr>
        <w:t>, Director of Code Enforcement, City of Reno</w:t>
      </w:r>
    </w:p>
    <w:p w14:paraId="77E19A77" w14:textId="77777777" w:rsidR="003622A8" w:rsidRPr="00353063" w:rsidRDefault="00DC7DC9" w:rsidP="00DC7DC9">
      <w:pPr>
        <w:pStyle w:val="ListParagraph"/>
        <w:spacing w:after="0"/>
        <w:rPr>
          <w:rFonts w:cstheme="minorHAnsi"/>
          <w:i/>
          <w:color w:val="0070C0"/>
        </w:rPr>
      </w:pPr>
      <w:r w:rsidRPr="00353063">
        <w:rPr>
          <w:rFonts w:cstheme="minorHAnsi"/>
          <w:i/>
          <w:color w:val="0070C0"/>
        </w:rPr>
        <w:t>Jacob Ward</w:t>
      </w:r>
      <w:r w:rsidR="007C50BC" w:rsidRPr="00353063">
        <w:rPr>
          <w:rFonts w:cstheme="minorHAnsi"/>
          <w:i/>
          <w:color w:val="0070C0"/>
        </w:rPr>
        <w:t>, Pure Tonic Concentrates</w:t>
      </w:r>
    </w:p>
    <w:p w14:paraId="24EFC33D" w14:textId="77777777" w:rsidR="00C62309" w:rsidRPr="003110FB" w:rsidRDefault="00C62309" w:rsidP="00C62309">
      <w:pPr>
        <w:pStyle w:val="ListParagraph"/>
        <w:spacing w:after="0"/>
      </w:pPr>
      <w:r>
        <w:rPr>
          <w:rFonts w:cstheme="minorHAnsi"/>
          <w:i/>
          <w:color w:val="0070C0"/>
        </w:rPr>
        <w:t xml:space="preserve">Jennifer Lazovich, </w:t>
      </w:r>
      <w:r w:rsidRPr="008B627D">
        <w:rPr>
          <w:rFonts w:ascii="Calibri" w:eastAsia="Calibri" w:hAnsi="Calibri" w:cs="Times New Roman"/>
          <w:i/>
          <w:color w:val="0070C0"/>
        </w:rPr>
        <w:t>Kaempfer Crowell</w:t>
      </w:r>
    </w:p>
    <w:p w14:paraId="1D21C651" w14:textId="77777777" w:rsidR="000B01A4" w:rsidRPr="00DC7DC9" w:rsidRDefault="000B01A4" w:rsidP="000B01A4">
      <w:pPr>
        <w:spacing w:after="0"/>
        <w:rPr>
          <w:rFonts w:cstheme="minorHAnsi"/>
        </w:rPr>
      </w:pPr>
    </w:p>
    <w:p w14:paraId="33C1CC05" w14:textId="77777777" w:rsidR="000E3650" w:rsidRPr="007C50BC" w:rsidRDefault="00DC4C91" w:rsidP="00D202DC">
      <w:pPr>
        <w:pStyle w:val="ListParagraph"/>
        <w:numPr>
          <w:ilvl w:val="0"/>
          <w:numId w:val="1"/>
        </w:numPr>
        <w:spacing w:after="0"/>
        <w:rPr>
          <w:rFonts w:cstheme="minorHAnsi"/>
          <w:i/>
          <w:color w:val="2E74B5" w:themeColor="accent1" w:themeShade="BF"/>
        </w:rPr>
      </w:pPr>
      <w:r w:rsidRPr="007F714D">
        <w:rPr>
          <w:rFonts w:cstheme="minorHAnsi"/>
        </w:rPr>
        <w:t>Describe the r</w:t>
      </w:r>
      <w:r w:rsidR="000B01A4" w:rsidRPr="007F714D">
        <w:rPr>
          <w:rFonts w:cstheme="minorHAnsi"/>
        </w:rPr>
        <w:t>ecommendation:</w:t>
      </w:r>
    </w:p>
    <w:p w14:paraId="2CBCB74E" w14:textId="77777777" w:rsidR="007C50BC" w:rsidRPr="007F714D" w:rsidRDefault="007C50BC" w:rsidP="007C50BC">
      <w:pPr>
        <w:pStyle w:val="ListParagraph"/>
        <w:spacing w:after="0"/>
        <w:rPr>
          <w:rFonts w:cstheme="minorHAnsi"/>
          <w:i/>
          <w:color w:val="2E74B5" w:themeColor="accent1" w:themeShade="BF"/>
        </w:rPr>
      </w:pPr>
    </w:p>
    <w:p w14:paraId="5ED0FCDB" w14:textId="77777777" w:rsidR="001A10F5" w:rsidRPr="00353063" w:rsidRDefault="00C62309" w:rsidP="005E5CAD">
      <w:pPr>
        <w:ind w:left="720"/>
        <w:jc w:val="both"/>
        <w:rPr>
          <w:rFonts w:cstheme="minorHAnsi"/>
          <w:color w:val="0070C0"/>
        </w:rPr>
      </w:pPr>
      <w:r>
        <w:rPr>
          <w:rFonts w:cstheme="minorHAnsi"/>
          <w:i/>
          <w:color w:val="0070C0"/>
        </w:rPr>
        <w:t>The intent</w:t>
      </w:r>
      <w:r w:rsidR="00CA110B">
        <w:rPr>
          <w:rFonts w:cstheme="minorHAnsi"/>
          <w:i/>
          <w:color w:val="0070C0"/>
        </w:rPr>
        <w:t xml:space="preserve"> of this recommendation</w:t>
      </w:r>
      <w:r>
        <w:rPr>
          <w:rFonts w:cstheme="minorHAnsi"/>
          <w:i/>
          <w:color w:val="0070C0"/>
        </w:rPr>
        <w:t xml:space="preserve"> is to </w:t>
      </w:r>
      <w:r w:rsidR="005E5CAD">
        <w:rPr>
          <w:rFonts w:cstheme="minorHAnsi"/>
          <w:i/>
          <w:color w:val="0070C0"/>
        </w:rPr>
        <w:t>e</w:t>
      </w:r>
      <w:r w:rsidR="00445D71" w:rsidRPr="00445D71">
        <w:rPr>
          <w:rFonts w:cstheme="minorHAnsi"/>
          <w:i/>
          <w:color w:val="0070C0"/>
        </w:rPr>
        <w:t>nsure that there is consistency in regulation throughout the State for certain matters involving recreational marijuana.</w:t>
      </w:r>
      <w:r>
        <w:rPr>
          <w:rFonts w:cstheme="minorHAnsi"/>
          <w:i/>
          <w:color w:val="0070C0"/>
        </w:rPr>
        <w:t xml:space="preserve">  </w:t>
      </w:r>
    </w:p>
    <w:p w14:paraId="12814F61" w14:textId="77777777" w:rsidR="00E9081E" w:rsidRDefault="00DC4C91" w:rsidP="00E9081E">
      <w:pPr>
        <w:pStyle w:val="ListParagraph"/>
        <w:numPr>
          <w:ilvl w:val="0"/>
          <w:numId w:val="1"/>
        </w:numPr>
        <w:spacing w:after="0"/>
        <w:rPr>
          <w:rFonts w:cstheme="minorHAnsi"/>
        </w:rPr>
      </w:pPr>
      <w:r w:rsidRPr="00DC7DC9">
        <w:rPr>
          <w:rFonts w:cstheme="minorHAnsi"/>
        </w:rPr>
        <w:t>Which guiding p</w:t>
      </w:r>
      <w:r w:rsidR="00E9081E" w:rsidRPr="00DC7DC9">
        <w:rPr>
          <w:rFonts w:cstheme="minorHAnsi"/>
        </w:rPr>
        <w:t>rinciple(s) does this recommendation support?</w:t>
      </w:r>
    </w:p>
    <w:p w14:paraId="05CEEC59" w14:textId="77777777" w:rsidR="007C50BC" w:rsidRDefault="007C50BC" w:rsidP="007C50BC">
      <w:pPr>
        <w:pStyle w:val="ListParagraph"/>
        <w:spacing w:after="0"/>
        <w:rPr>
          <w:rFonts w:cstheme="minorHAnsi"/>
        </w:rPr>
      </w:pPr>
    </w:p>
    <w:p w14:paraId="6E4DB6F8" w14:textId="77777777" w:rsidR="005D72ED" w:rsidRDefault="007C50BC" w:rsidP="008D4124">
      <w:pPr>
        <w:pStyle w:val="ListParagraph"/>
        <w:tabs>
          <w:tab w:val="left" w:pos="9360"/>
        </w:tabs>
        <w:spacing w:line="300" w:lineRule="exact"/>
        <w:ind w:right="693"/>
        <w:jc w:val="both"/>
        <w:rPr>
          <w:rFonts w:cstheme="minorHAnsi"/>
          <w:i/>
          <w:color w:val="0070C0"/>
        </w:rPr>
      </w:pPr>
      <w:r w:rsidRPr="00353063">
        <w:rPr>
          <w:rFonts w:cstheme="minorHAnsi"/>
          <w:i/>
          <w:color w:val="0070C0"/>
        </w:rPr>
        <w:t xml:space="preserve">Guiding Principle </w:t>
      </w:r>
      <w:r w:rsidR="005D72ED" w:rsidRPr="00353063">
        <w:rPr>
          <w:rFonts w:cstheme="minorHAnsi"/>
          <w:i/>
          <w:color w:val="0070C0"/>
        </w:rPr>
        <w:t xml:space="preserve">1 – Promote the health, safety, and </w:t>
      </w:r>
      <w:r w:rsidR="00096A68" w:rsidRPr="00353063">
        <w:rPr>
          <w:rFonts w:cstheme="minorHAnsi"/>
          <w:i/>
          <w:color w:val="0070C0"/>
        </w:rPr>
        <w:t>well-being</w:t>
      </w:r>
      <w:r w:rsidR="005D72ED" w:rsidRPr="00353063">
        <w:rPr>
          <w:rFonts w:cstheme="minorHAnsi"/>
          <w:i/>
          <w:color w:val="0070C0"/>
        </w:rPr>
        <w:t xml:space="preserve"> of Nevada’s communities</w:t>
      </w:r>
    </w:p>
    <w:p w14:paraId="21B9A5BA" w14:textId="77777777" w:rsidR="008D4124" w:rsidRPr="00353063" w:rsidRDefault="008D4124" w:rsidP="008D4124">
      <w:pPr>
        <w:pStyle w:val="ListParagraph"/>
        <w:tabs>
          <w:tab w:val="left" w:pos="9360"/>
        </w:tabs>
        <w:spacing w:line="300" w:lineRule="exact"/>
        <w:ind w:right="693"/>
        <w:jc w:val="both"/>
        <w:rPr>
          <w:rFonts w:cstheme="minorHAnsi"/>
          <w:i/>
          <w:color w:val="0070C0"/>
        </w:rPr>
      </w:pPr>
    </w:p>
    <w:p w14:paraId="6A179E1E" w14:textId="77777777" w:rsidR="008D4124" w:rsidRDefault="007C50BC" w:rsidP="008D4124">
      <w:pPr>
        <w:pStyle w:val="ListParagraph"/>
        <w:tabs>
          <w:tab w:val="left" w:pos="9360"/>
        </w:tabs>
        <w:spacing w:line="300" w:lineRule="exact"/>
        <w:ind w:right="693"/>
        <w:jc w:val="both"/>
        <w:rPr>
          <w:rFonts w:cstheme="minorHAnsi"/>
          <w:i/>
          <w:color w:val="0070C0"/>
        </w:rPr>
      </w:pPr>
      <w:r w:rsidRPr="00353063">
        <w:rPr>
          <w:rFonts w:cstheme="minorHAnsi"/>
          <w:i/>
          <w:color w:val="0070C0"/>
        </w:rPr>
        <w:t xml:space="preserve">Guiding Principle </w:t>
      </w:r>
      <w:r w:rsidR="00DC7DC9" w:rsidRPr="00353063">
        <w:rPr>
          <w:rFonts w:cstheme="minorHAnsi"/>
          <w:i/>
          <w:color w:val="0070C0"/>
        </w:rPr>
        <w:t>2 – Be responsive to the needs and issues of consumers, non-consumers, local governments and the industry</w:t>
      </w:r>
    </w:p>
    <w:p w14:paraId="3671417A" w14:textId="2719E507" w:rsidR="00DC7DC9" w:rsidRPr="00353063" w:rsidRDefault="00DC7DC9" w:rsidP="008D4124">
      <w:pPr>
        <w:pStyle w:val="ListParagraph"/>
        <w:tabs>
          <w:tab w:val="left" w:pos="9360"/>
        </w:tabs>
        <w:spacing w:line="300" w:lineRule="exact"/>
        <w:ind w:right="693"/>
        <w:jc w:val="both"/>
        <w:rPr>
          <w:rFonts w:cstheme="minorHAnsi"/>
          <w:i/>
          <w:color w:val="0070C0"/>
        </w:rPr>
      </w:pPr>
      <w:r w:rsidRPr="00353063">
        <w:rPr>
          <w:rFonts w:cstheme="minorHAnsi"/>
          <w:i/>
          <w:color w:val="0070C0"/>
        </w:rPr>
        <w:tab/>
      </w:r>
    </w:p>
    <w:p w14:paraId="31E9C90D" w14:textId="77777777" w:rsidR="00DC7DC9" w:rsidRDefault="007C50BC" w:rsidP="008D4124">
      <w:pPr>
        <w:pStyle w:val="ListParagraph"/>
        <w:tabs>
          <w:tab w:val="left" w:pos="9360"/>
        </w:tabs>
        <w:jc w:val="both"/>
        <w:rPr>
          <w:rFonts w:cstheme="minorHAnsi"/>
          <w:i/>
          <w:color w:val="0070C0"/>
        </w:rPr>
      </w:pPr>
      <w:r w:rsidRPr="00353063">
        <w:rPr>
          <w:rFonts w:cstheme="minorHAnsi"/>
          <w:i/>
          <w:color w:val="0070C0"/>
        </w:rPr>
        <w:t xml:space="preserve">Guiding Principle </w:t>
      </w:r>
      <w:r w:rsidR="00DC7DC9" w:rsidRPr="00353063">
        <w:rPr>
          <w:rFonts w:cstheme="minorHAnsi"/>
          <w:i/>
          <w:color w:val="0070C0"/>
        </w:rPr>
        <w:t>4 – Propose efficient and effective regulation that is clear and reasonable and not unduly burdensome</w:t>
      </w:r>
    </w:p>
    <w:p w14:paraId="27740840" w14:textId="77777777" w:rsidR="008D4124" w:rsidRDefault="008D4124" w:rsidP="008D4124">
      <w:pPr>
        <w:pStyle w:val="ListParagraph"/>
        <w:tabs>
          <w:tab w:val="left" w:pos="9360"/>
        </w:tabs>
        <w:jc w:val="both"/>
        <w:rPr>
          <w:rFonts w:cstheme="minorHAnsi"/>
          <w:i/>
          <w:color w:val="0070C0"/>
        </w:rPr>
      </w:pPr>
    </w:p>
    <w:p w14:paraId="70D2C87E" w14:textId="77777777" w:rsidR="00C62309" w:rsidRDefault="00C62309" w:rsidP="00752472">
      <w:pPr>
        <w:pStyle w:val="ListParagraph"/>
        <w:jc w:val="both"/>
        <w:rPr>
          <w:rFonts w:cstheme="minorHAnsi"/>
          <w:i/>
          <w:color w:val="0070C0"/>
        </w:rPr>
      </w:pPr>
      <w:r>
        <w:rPr>
          <w:rFonts w:cstheme="minorHAnsi"/>
          <w:i/>
          <w:color w:val="0070C0"/>
        </w:rPr>
        <w:t xml:space="preserve">Guiding Principle 5 - </w:t>
      </w:r>
      <w:r w:rsidRPr="00C62309">
        <w:rPr>
          <w:rFonts w:cstheme="minorHAnsi"/>
          <w:i/>
          <w:color w:val="0070C0"/>
        </w:rPr>
        <w:t>Begin a discussion between the State and local governments regarding the costs of carrying out Question 2</w:t>
      </w:r>
    </w:p>
    <w:p w14:paraId="296D3666" w14:textId="77777777" w:rsidR="008D4124" w:rsidRPr="00353063" w:rsidRDefault="008D4124" w:rsidP="00752472">
      <w:pPr>
        <w:pStyle w:val="ListParagraph"/>
        <w:jc w:val="both"/>
        <w:rPr>
          <w:rFonts w:cstheme="minorHAnsi"/>
          <w:i/>
          <w:color w:val="0070C0"/>
        </w:rPr>
      </w:pPr>
    </w:p>
    <w:p w14:paraId="616282A2" w14:textId="77777777" w:rsidR="00E9081E" w:rsidRPr="00353063" w:rsidRDefault="007C50BC" w:rsidP="00752472">
      <w:pPr>
        <w:pStyle w:val="ListParagraph"/>
        <w:jc w:val="both"/>
        <w:rPr>
          <w:rFonts w:cstheme="minorHAnsi"/>
          <w:i/>
          <w:color w:val="0070C0"/>
        </w:rPr>
      </w:pPr>
      <w:r w:rsidRPr="00353063">
        <w:rPr>
          <w:rFonts w:cstheme="minorHAnsi"/>
          <w:i/>
          <w:color w:val="0070C0"/>
        </w:rPr>
        <w:t xml:space="preserve">Guiding Principle </w:t>
      </w:r>
      <w:r w:rsidR="00DC7DC9" w:rsidRPr="00353063">
        <w:rPr>
          <w:rFonts w:cstheme="minorHAnsi"/>
          <w:i/>
          <w:color w:val="0070C0"/>
        </w:rPr>
        <w:t>6 – Establish regulations that are clear and practical, so that interactions between law enforcement (at the local, state and federal levels), consumers, and licensees are predictable and understandable</w:t>
      </w:r>
      <w:r w:rsidR="00DC7DC9" w:rsidRPr="00353063">
        <w:rPr>
          <w:rFonts w:cstheme="minorHAnsi"/>
          <w:i/>
          <w:color w:val="0070C0"/>
        </w:rPr>
        <w:tab/>
      </w:r>
    </w:p>
    <w:p w14:paraId="1B3A5A3E" w14:textId="77777777" w:rsidR="00E9081E" w:rsidRPr="00DC7DC9" w:rsidRDefault="00E9081E" w:rsidP="00E9081E">
      <w:pPr>
        <w:spacing w:after="0"/>
        <w:rPr>
          <w:rFonts w:cstheme="minorHAnsi"/>
        </w:rPr>
      </w:pPr>
    </w:p>
    <w:p w14:paraId="28A4CAC0" w14:textId="77777777" w:rsidR="00DC7DC9" w:rsidRPr="00752472" w:rsidRDefault="00E9081E" w:rsidP="00211406">
      <w:pPr>
        <w:pStyle w:val="ListParagraph"/>
        <w:numPr>
          <w:ilvl w:val="0"/>
          <w:numId w:val="1"/>
        </w:numPr>
        <w:spacing w:after="0"/>
        <w:rPr>
          <w:rFonts w:ascii="Times New Roman" w:hAnsi="Times New Roman" w:cs="Times New Roman"/>
          <w:sz w:val="24"/>
          <w:szCs w:val="24"/>
        </w:rPr>
      </w:pPr>
      <w:r w:rsidRPr="00DC7DC9">
        <w:rPr>
          <w:rFonts w:cstheme="minorHAnsi"/>
        </w:rPr>
        <w:t xml:space="preserve">What provision(s) of Question 2 does this recommendation apply to?  </w:t>
      </w:r>
    </w:p>
    <w:p w14:paraId="5502F380" w14:textId="77777777" w:rsidR="00752472" w:rsidRPr="00DC7DC9" w:rsidRDefault="00752472" w:rsidP="00752472">
      <w:pPr>
        <w:pStyle w:val="ListParagraph"/>
        <w:spacing w:after="0"/>
        <w:rPr>
          <w:rFonts w:ascii="Times New Roman" w:hAnsi="Times New Roman" w:cs="Times New Roman"/>
          <w:sz w:val="24"/>
          <w:szCs w:val="24"/>
        </w:rPr>
      </w:pPr>
    </w:p>
    <w:p w14:paraId="6D4467D7" w14:textId="77777777" w:rsidR="005D72ED" w:rsidRPr="00353063" w:rsidRDefault="007F714D" w:rsidP="00752472">
      <w:pPr>
        <w:pStyle w:val="ListParagraph"/>
        <w:numPr>
          <w:ilvl w:val="0"/>
          <w:numId w:val="11"/>
        </w:numPr>
        <w:jc w:val="both"/>
        <w:rPr>
          <w:rFonts w:cstheme="minorHAnsi"/>
          <w:i/>
          <w:color w:val="0070C0"/>
        </w:rPr>
      </w:pPr>
      <w:r w:rsidRPr="00353063">
        <w:rPr>
          <w:rFonts w:cstheme="minorHAnsi"/>
          <w:i/>
          <w:color w:val="0070C0"/>
        </w:rPr>
        <w:t xml:space="preserve">NRS 453D.020 (3) (c) </w:t>
      </w:r>
      <w:r w:rsidRPr="00353063">
        <w:rPr>
          <w:i/>
          <w:color w:val="0070C0"/>
        </w:rPr>
        <w:t xml:space="preserve">Cultivating, manufacturing, testing, transporting and selling marijuana will be strictly controlled through </w:t>
      </w:r>
      <w:r w:rsidR="00CA110B" w:rsidRPr="00CA110B">
        <w:rPr>
          <w:b/>
          <w:i/>
          <w:color w:val="0070C0"/>
          <w:u w:val="single"/>
        </w:rPr>
        <w:t>state</w:t>
      </w:r>
      <w:r w:rsidR="00CA110B">
        <w:rPr>
          <w:b/>
          <w:i/>
          <w:color w:val="0070C0"/>
        </w:rPr>
        <w:t xml:space="preserve"> </w:t>
      </w:r>
      <w:r w:rsidRPr="00CA110B">
        <w:rPr>
          <w:i/>
          <w:color w:val="0070C0"/>
        </w:rPr>
        <w:t>licensing and regulation</w:t>
      </w:r>
    </w:p>
    <w:p w14:paraId="745083FC" w14:textId="77777777" w:rsidR="007F714D" w:rsidRPr="00353063" w:rsidRDefault="007F714D" w:rsidP="00752472">
      <w:pPr>
        <w:pStyle w:val="ListParagraph"/>
        <w:ind w:left="1080"/>
        <w:jc w:val="both"/>
        <w:rPr>
          <w:rFonts w:cstheme="minorHAnsi"/>
          <w:i/>
          <w:color w:val="0070C0"/>
        </w:rPr>
      </w:pPr>
    </w:p>
    <w:p w14:paraId="4FE45581" w14:textId="77777777" w:rsidR="00E9081E" w:rsidRPr="00D94AEC" w:rsidRDefault="005E5CAD" w:rsidP="00752472">
      <w:pPr>
        <w:pStyle w:val="ListParagraph"/>
        <w:numPr>
          <w:ilvl w:val="0"/>
          <w:numId w:val="11"/>
        </w:numPr>
        <w:spacing w:after="0"/>
        <w:jc w:val="both"/>
        <w:rPr>
          <w:rFonts w:cstheme="minorHAnsi"/>
          <w:i/>
          <w:color w:val="0070C0"/>
        </w:rPr>
      </w:pPr>
      <w:bookmarkStart w:id="1" w:name="NRS453DSec200"/>
      <w:bookmarkEnd w:id="1"/>
      <w:r w:rsidRPr="00D94AEC">
        <w:rPr>
          <w:rStyle w:val="empty"/>
          <w:i/>
          <w:color w:val="0070C0"/>
        </w:rPr>
        <w:t>NRS</w:t>
      </w:r>
      <w:r w:rsidRPr="00D94AEC">
        <w:rPr>
          <w:rStyle w:val="empty"/>
          <w:i/>
          <w:color w:val="0070C0"/>
        </w:rPr>
        <w:t> </w:t>
      </w:r>
      <w:r w:rsidRPr="00D94AEC">
        <w:rPr>
          <w:rStyle w:val="section"/>
          <w:i/>
          <w:color w:val="0070C0"/>
        </w:rPr>
        <w:t>453D.200</w:t>
      </w:r>
      <w:r w:rsidRPr="00D94AEC">
        <w:rPr>
          <w:rStyle w:val="empty"/>
          <w:i/>
          <w:color w:val="0070C0"/>
        </w:rPr>
        <w:t> </w:t>
      </w:r>
      <w:r w:rsidRPr="00D94AEC">
        <w:rPr>
          <w:rStyle w:val="empty"/>
          <w:i/>
          <w:color w:val="0070C0"/>
        </w:rPr>
        <w:t> </w:t>
      </w:r>
      <w:r w:rsidRPr="00D94AEC">
        <w:rPr>
          <w:rStyle w:val="leadline"/>
          <w:i/>
          <w:color w:val="0070C0"/>
        </w:rPr>
        <w:t>Duties of Department relating to regulation and licensing of marijuana establishments; information about consumers.</w:t>
      </w:r>
    </w:p>
    <w:p w14:paraId="05B1128E" w14:textId="77777777" w:rsidR="00E9081E" w:rsidRPr="00DC7DC9" w:rsidRDefault="00E9081E" w:rsidP="00E9081E">
      <w:pPr>
        <w:pStyle w:val="ListParagraph"/>
        <w:spacing w:after="0"/>
        <w:rPr>
          <w:rFonts w:cstheme="minorHAnsi"/>
        </w:rPr>
      </w:pPr>
    </w:p>
    <w:p w14:paraId="75217925" w14:textId="77777777" w:rsidR="007A4A8C" w:rsidRDefault="00E9081E" w:rsidP="00DC7DC9">
      <w:pPr>
        <w:pStyle w:val="ListParagraph"/>
        <w:numPr>
          <w:ilvl w:val="0"/>
          <w:numId w:val="1"/>
        </w:numPr>
        <w:spacing w:after="0"/>
        <w:rPr>
          <w:rFonts w:cstheme="minorHAnsi"/>
        </w:rPr>
      </w:pPr>
      <w:r w:rsidRPr="00DC7DC9">
        <w:rPr>
          <w:rFonts w:cstheme="minorHAnsi"/>
        </w:rPr>
        <w:t>What issue(s) does the recommendation resolve?</w:t>
      </w:r>
    </w:p>
    <w:p w14:paraId="20317D0D" w14:textId="77777777" w:rsidR="00752472" w:rsidRPr="00CA110B" w:rsidRDefault="00C762AE" w:rsidP="00752472">
      <w:pPr>
        <w:pStyle w:val="ListParagraph"/>
        <w:spacing w:after="0"/>
        <w:rPr>
          <w:rFonts w:cstheme="minorHAnsi"/>
          <w:i/>
          <w:color w:val="2E74B5" w:themeColor="accent1" w:themeShade="BF"/>
        </w:rPr>
      </w:pPr>
      <w:r w:rsidRPr="00CA110B">
        <w:rPr>
          <w:rFonts w:cstheme="minorHAnsi"/>
          <w:i/>
          <w:color w:val="2E74B5" w:themeColor="accent1" w:themeShade="BF"/>
        </w:rPr>
        <w:lastRenderedPageBreak/>
        <w:t>This recommendation would provide guidance to local government</w:t>
      </w:r>
      <w:r w:rsidR="00CA110B" w:rsidRPr="00CA110B">
        <w:rPr>
          <w:rFonts w:cstheme="minorHAnsi"/>
          <w:i/>
          <w:color w:val="2E74B5" w:themeColor="accent1" w:themeShade="BF"/>
        </w:rPr>
        <w:t>s</w:t>
      </w:r>
      <w:r w:rsidRPr="00CA110B">
        <w:rPr>
          <w:rFonts w:cstheme="minorHAnsi"/>
          <w:i/>
          <w:color w:val="2E74B5" w:themeColor="accent1" w:themeShade="BF"/>
        </w:rPr>
        <w:t xml:space="preserve"> </w:t>
      </w:r>
      <w:r w:rsidR="00CA110B" w:rsidRPr="00CA110B">
        <w:rPr>
          <w:rFonts w:cstheme="minorHAnsi"/>
          <w:i/>
          <w:color w:val="2E74B5" w:themeColor="accent1" w:themeShade="BF"/>
        </w:rPr>
        <w:t xml:space="preserve">as </w:t>
      </w:r>
      <w:r w:rsidRPr="00CA110B">
        <w:rPr>
          <w:rFonts w:cstheme="minorHAnsi"/>
          <w:i/>
          <w:color w:val="2E74B5" w:themeColor="accent1" w:themeShade="BF"/>
        </w:rPr>
        <w:t>to issues that should be deferred to State regulation. Certain matters involving edibles, packaging, concentrates, dosing, potency and serving size limitations should be consistent throughout the State to ensure consumer safety.</w:t>
      </w:r>
      <w:r w:rsidR="005E5CAD" w:rsidRPr="00CA110B">
        <w:rPr>
          <w:rFonts w:cstheme="minorHAnsi"/>
          <w:i/>
          <w:color w:val="2E74B5" w:themeColor="accent1" w:themeShade="BF"/>
        </w:rPr>
        <w:t xml:space="preserve"> Some other resolutions offered by this recommendation are:</w:t>
      </w:r>
    </w:p>
    <w:p w14:paraId="259711E6" w14:textId="77777777" w:rsidR="00C762AE" w:rsidRPr="00DC7DC9" w:rsidRDefault="00C762AE" w:rsidP="00752472">
      <w:pPr>
        <w:pStyle w:val="ListParagraph"/>
        <w:spacing w:after="0"/>
        <w:rPr>
          <w:rFonts w:cstheme="minorHAnsi"/>
        </w:rPr>
      </w:pPr>
    </w:p>
    <w:p w14:paraId="2F96648B" w14:textId="77777777" w:rsidR="003B7388" w:rsidRPr="00353063" w:rsidRDefault="00C62309" w:rsidP="00752472">
      <w:pPr>
        <w:pStyle w:val="ListParagraph"/>
        <w:numPr>
          <w:ilvl w:val="0"/>
          <w:numId w:val="5"/>
        </w:numPr>
        <w:spacing w:after="200" w:line="276" w:lineRule="auto"/>
        <w:jc w:val="both"/>
        <w:rPr>
          <w:rFonts w:cstheme="minorHAnsi"/>
          <w:i/>
          <w:color w:val="0070C0"/>
        </w:rPr>
      </w:pPr>
      <w:r>
        <w:rPr>
          <w:rFonts w:cstheme="minorHAnsi"/>
          <w:i/>
          <w:color w:val="0070C0"/>
        </w:rPr>
        <w:t>Ensure</w:t>
      </w:r>
      <w:r w:rsidR="005E5CAD">
        <w:rPr>
          <w:rFonts w:cstheme="minorHAnsi"/>
          <w:i/>
          <w:color w:val="0070C0"/>
        </w:rPr>
        <w:t>s</w:t>
      </w:r>
      <w:r>
        <w:rPr>
          <w:rFonts w:cstheme="minorHAnsi"/>
          <w:i/>
          <w:color w:val="0070C0"/>
        </w:rPr>
        <w:t xml:space="preserve"> uniformity for the industry &amp; predictability with set regulations  </w:t>
      </w:r>
    </w:p>
    <w:p w14:paraId="379C06FB" w14:textId="77777777" w:rsidR="003B7388" w:rsidRPr="00353063" w:rsidRDefault="00C62309" w:rsidP="00752472">
      <w:pPr>
        <w:pStyle w:val="ListParagraph"/>
        <w:numPr>
          <w:ilvl w:val="0"/>
          <w:numId w:val="5"/>
        </w:numPr>
        <w:spacing w:after="200" w:line="276" w:lineRule="auto"/>
        <w:jc w:val="both"/>
        <w:rPr>
          <w:rFonts w:cstheme="minorHAnsi"/>
          <w:i/>
          <w:color w:val="0070C0"/>
        </w:rPr>
      </w:pPr>
      <w:r>
        <w:rPr>
          <w:rFonts w:cstheme="minorHAnsi"/>
          <w:i/>
          <w:color w:val="0070C0"/>
        </w:rPr>
        <w:t>Provides opportunity for state regulators to become subject matter experts</w:t>
      </w:r>
    </w:p>
    <w:p w14:paraId="77C4A6E5" w14:textId="77777777" w:rsidR="00DC7DC9" w:rsidRPr="00353063" w:rsidRDefault="00C62309" w:rsidP="00752472">
      <w:pPr>
        <w:pStyle w:val="ListParagraph"/>
        <w:numPr>
          <w:ilvl w:val="0"/>
          <w:numId w:val="5"/>
        </w:numPr>
        <w:spacing w:after="200" w:line="276" w:lineRule="auto"/>
        <w:jc w:val="both"/>
        <w:rPr>
          <w:rFonts w:cstheme="minorHAnsi"/>
          <w:i/>
          <w:color w:val="0070C0"/>
        </w:rPr>
      </w:pPr>
      <w:r>
        <w:rPr>
          <w:rFonts w:cstheme="minorHAnsi"/>
          <w:i/>
          <w:color w:val="0070C0"/>
        </w:rPr>
        <w:t>Reduces costs of regulation to local jurisdictions</w:t>
      </w:r>
    </w:p>
    <w:p w14:paraId="4E43859E" w14:textId="40A6A3A7" w:rsidR="005D72ED" w:rsidRPr="00D94AEC" w:rsidRDefault="00944F66" w:rsidP="00752472">
      <w:pPr>
        <w:pStyle w:val="ListParagraph"/>
        <w:numPr>
          <w:ilvl w:val="0"/>
          <w:numId w:val="5"/>
        </w:numPr>
        <w:spacing w:after="200" w:line="276" w:lineRule="auto"/>
        <w:jc w:val="both"/>
        <w:rPr>
          <w:rFonts w:cstheme="minorHAnsi"/>
          <w:i/>
          <w:color w:val="0070C0"/>
        </w:rPr>
      </w:pPr>
      <w:r w:rsidRPr="00D94AEC">
        <w:rPr>
          <w:rFonts w:cstheme="minorHAnsi"/>
          <w:i/>
          <w:color w:val="0070C0"/>
        </w:rPr>
        <w:t>Minimizes</w:t>
      </w:r>
      <w:r w:rsidR="00C62309" w:rsidRPr="00D94AEC">
        <w:rPr>
          <w:rFonts w:cstheme="minorHAnsi"/>
          <w:i/>
          <w:color w:val="0070C0"/>
        </w:rPr>
        <w:t xml:space="preserve"> ongoing training </w:t>
      </w:r>
      <w:r w:rsidRPr="00D94AEC">
        <w:rPr>
          <w:rFonts w:cstheme="minorHAnsi"/>
          <w:i/>
          <w:color w:val="0070C0"/>
        </w:rPr>
        <w:t>of the local jurisdictions by the State</w:t>
      </w:r>
    </w:p>
    <w:p w14:paraId="0F69E3EE" w14:textId="77777777" w:rsidR="005D72ED" w:rsidRDefault="00C62309" w:rsidP="00752472">
      <w:pPr>
        <w:pStyle w:val="ListParagraph"/>
        <w:numPr>
          <w:ilvl w:val="0"/>
          <w:numId w:val="5"/>
        </w:numPr>
        <w:spacing w:after="200" w:line="276" w:lineRule="auto"/>
        <w:jc w:val="both"/>
        <w:rPr>
          <w:rFonts w:cstheme="minorHAnsi"/>
          <w:i/>
          <w:color w:val="0070C0"/>
        </w:rPr>
      </w:pPr>
      <w:r>
        <w:rPr>
          <w:rFonts w:cstheme="minorHAnsi"/>
          <w:i/>
          <w:color w:val="0070C0"/>
        </w:rPr>
        <w:t>Minimizes possibility of contradictory regulations between the state and local governments</w:t>
      </w:r>
    </w:p>
    <w:p w14:paraId="6C59D9A8" w14:textId="77777777" w:rsidR="00C62309" w:rsidRPr="00353063" w:rsidRDefault="00C62309" w:rsidP="00752472">
      <w:pPr>
        <w:pStyle w:val="ListParagraph"/>
        <w:numPr>
          <w:ilvl w:val="0"/>
          <w:numId w:val="5"/>
        </w:numPr>
        <w:spacing w:after="200" w:line="276" w:lineRule="auto"/>
        <w:jc w:val="both"/>
        <w:rPr>
          <w:rFonts w:cstheme="minorHAnsi"/>
          <w:i/>
          <w:color w:val="0070C0"/>
        </w:rPr>
      </w:pPr>
      <w:r>
        <w:rPr>
          <w:rFonts w:cstheme="minorHAnsi"/>
          <w:i/>
          <w:color w:val="0070C0"/>
        </w:rPr>
        <w:t xml:space="preserve">Provides for local and state interactions similar to that related to existing gaming regulations </w:t>
      </w:r>
    </w:p>
    <w:p w14:paraId="4DFFE4B6" w14:textId="77777777" w:rsidR="003B7388" w:rsidRDefault="003B7388" w:rsidP="00752472">
      <w:pPr>
        <w:pStyle w:val="ListParagraph"/>
        <w:spacing w:after="0"/>
        <w:jc w:val="both"/>
        <w:rPr>
          <w:rFonts w:cstheme="minorHAnsi"/>
        </w:rPr>
      </w:pPr>
    </w:p>
    <w:p w14:paraId="6CF5FC7F" w14:textId="77777777" w:rsidR="001B0ADC" w:rsidRDefault="001B0ADC" w:rsidP="00DC7DC9">
      <w:pPr>
        <w:pStyle w:val="ListParagraph"/>
        <w:numPr>
          <w:ilvl w:val="0"/>
          <w:numId w:val="1"/>
        </w:numPr>
        <w:spacing w:after="0"/>
        <w:rPr>
          <w:rFonts w:cstheme="minorHAnsi"/>
        </w:rPr>
      </w:pPr>
      <w:r w:rsidRPr="00DC7DC9">
        <w:rPr>
          <w:rFonts w:cstheme="minorHAnsi"/>
        </w:rPr>
        <w:t>Was there dissent in the group regarding this recommendation?  If yes, please provide a summary of the dissenting opinion regarding the recommendation.</w:t>
      </w:r>
    </w:p>
    <w:p w14:paraId="33E480EF" w14:textId="77777777" w:rsidR="003B7388" w:rsidRDefault="003B7388" w:rsidP="003B7388">
      <w:pPr>
        <w:pStyle w:val="ListParagraph"/>
        <w:spacing w:after="0"/>
        <w:rPr>
          <w:rFonts w:cstheme="minorHAnsi"/>
        </w:rPr>
      </w:pPr>
    </w:p>
    <w:p w14:paraId="603320C5" w14:textId="77777777" w:rsidR="00E9081E" w:rsidRPr="00353063" w:rsidRDefault="00752472" w:rsidP="003B7388">
      <w:pPr>
        <w:pStyle w:val="ListParagraph"/>
        <w:spacing w:after="0"/>
        <w:rPr>
          <w:rFonts w:cstheme="minorHAnsi"/>
          <w:i/>
          <w:color w:val="0070C0"/>
        </w:rPr>
      </w:pPr>
      <w:r w:rsidRPr="00353063">
        <w:rPr>
          <w:rFonts w:cstheme="minorHAnsi"/>
          <w:i/>
          <w:color w:val="0070C0"/>
        </w:rPr>
        <w:t>No dissent</w:t>
      </w:r>
    </w:p>
    <w:p w14:paraId="247D1E81" w14:textId="77777777" w:rsidR="00E9081E" w:rsidRPr="00DC7DC9" w:rsidRDefault="00E9081E" w:rsidP="00E9081E">
      <w:pPr>
        <w:spacing w:after="0"/>
        <w:rPr>
          <w:rFonts w:cstheme="minorHAnsi"/>
        </w:rPr>
      </w:pPr>
    </w:p>
    <w:p w14:paraId="6F07F4C8" w14:textId="77777777" w:rsidR="00E9081E" w:rsidRDefault="00E9081E" w:rsidP="00DC7DC9">
      <w:pPr>
        <w:pStyle w:val="ListParagraph"/>
        <w:numPr>
          <w:ilvl w:val="0"/>
          <w:numId w:val="1"/>
        </w:numPr>
        <w:spacing w:after="0"/>
        <w:rPr>
          <w:rFonts w:cstheme="minorHAnsi"/>
        </w:rPr>
      </w:pPr>
      <w:r w:rsidRPr="00DC7DC9">
        <w:rPr>
          <w:rFonts w:cstheme="minorHAnsi"/>
        </w:rPr>
        <w:t>What action(</w:t>
      </w:r>
      <w:r w:rsidR="00B70E4E" w:rsidRPr="00DC7DC9">
        <w:rPr>
          <w:rFonts w:cstheme="minorHAnsi"/>
        </w:rPr>
        <w:t>s</w:t>
      </w:r>
      <w:r w:rsidRPr="00DC7DC9">
        <w:rPr>
          <w:rFonts w:cstheme="minorHAnsi"/>
        </w:rPr>
        <w:t>)</w:t>
      </w:r>
      <w:r w:rsidR="00B70E4E" w:rsidRPr="00DC7DC9">
        <w:rPr>
          <w:rFonts w:cstheme="minorHAnsi"/>
        </w:rPr>
        <w:t xml:space="preserve"> </w:t>
      </w:r>
      <w:r w:rsidRPr="00DC7DC9">
        <w:rPr>
          <w:rFonts w:cstheme="minorHAnsi"/>
        </w:rPr>
        <w:t>will be necessary to a</w:t>
      </w:r>
      <w:r w:rsidR="006B0A7E" w:rsidRPr="00DC7DC9">
        <w:rPr>
          <w:rFonts w:cstheme="minorHAnsi"/>
        </w:rPr>
        <w:t>dopt the recommendation?  Will statute, policy, r</w:t>
      </w:r>
      <w:r w:rsidRPr="00DC7DC9">
        <w:rPr>
          <w:rFonts w:cstheme="minorHAnsi"/>
        </w:rPr>
        <w:t>egulations, etc. need to be addressed?</w:t>
      </w:r>
    </w:p>
    <w:p w14:paraId="1F468628" w14:textId="77777777" w:rsidR="003B7388" w:rsidRDefault="003B7388" w:rsidP="003B7388">
      <w:pPr>
        <w:pStyle w:val="ListParagraph"/>
        <w:rPr>
          <w:rFonts w:ascii="Times New Roman" w:hAnsi="Times New Roman" w:cs="Times New Roman"/>
          <w:sz w:val="24"/>
          <w:szCs w:val="24"/>
        </w:rPr>
      </w:pPr>
    </w:p>
    <w:p w14:paraId="6F957CC7" w14:textId="7667E18C" w:rsidR="005E5CAD" w:rsidRPr="005E5CAD" w:rsidRDefault="00C762AE" w:rsidP="00D94AEC">
      <w:pPr>
        <w:pStyle w:val="ListParagraph"/>
        <w:jc w:val="both"/>
        <w:rPr>
          <w:rFonts w:cstheme="minorHAnsi"/>
          <w:i/>
          <w:color w:val="2E74B5" w:themeColor="accent1" w:themeShade="BF"/>
        </w:rPr>
      </w:pPr>
      <w:r w:rsidRPr="005E5CAD">
        <w:rPr>
          <w:rFonts w:cstheme="minorHAnsi"/>
          <w:i/>
          <w:color w:val="2E74B5" w:themeColor="accent1" w:themeShade="BF"/>
        </w:rPr>
        <w:t xml:space="preserve">A regulation should be adopted that makes it clear that local governments may regulate recreational marijuana establishments on zoning, general business license matters, fire and building code compliance. However, local governments must defer to State regulation on </w:t>
      </w:r>
      <w:r w:rsidRPr="00D94AEC">
        <w:rPr>
          <w:rFonts w:cstheme="minorHAnsi"/>
          <w:i/>
          <w:color w:val="0070C0"/>
        </w:rPr>
        <w:t>matters involving edibles, packaging, c</w:t>
      </w:r>
      <w:r w:rsidR="0056688E" w:rsidRPr="00D94AEC">
        <w:rPr>
          <w:rFonts w:cstheme="minorHAnsi"/>
          <w:i/>
          <w:color w:val="0070C0"/>
        </w:rPr>
        <w:t>oncentrates, dosing, potency, serving</w:t>
      </w:r>
      <w:r w:rsidRPr="00D94AEC">
        <w:rPr>
          <w:rFonts w:cstheme="minorHAnsi"/>
          <w:i/>
          <w:color w:val="0070C0"/>
        </w:rPr>
        <w:t xml:space="preserve"> size limitations</w:t>
      </w:r>
      <w:r w:rsidR="0056688E" w:rsidRPr="00D94AEC">
        <w:rPr>
          <w:rFonts w:cstheme="minorHAnsi"/>
          <w:i/>
          <w:color w:val="0070C0"/>
        </w:rPr>
        <w:t>, and products types</w:t>
      </w:r>
      <w:r w:rsidRPr="00D94AEC">
        <w:rPr>
          <w:rFonts w:cstheme="minorHAnsi"/>
          <w:i/>
          <w:color w:val="0070C0"/>
        </w:rPr>
        <w:t>.</w:t>
      </w:r>
      <w:r w:rsidR="005E5CAD" w:rsidRPr="00D94AEC">
        <w:rPr>
          <w:rFonts w:cstheme="minorHAnsi"/>
          <w:i/>
          <w:color w:val="0070C0"/>
        </w:rPr>
        <w:t xml:space="preserve"> </w:t>
      </w:r>
    </w:p>
    <w:p w14:paraId="54E0CCBD" w14:textId="77777777" w:rsidR="005E5CAD" w:rsidRDefault="005E5CAD" w:rsidP="00D94AEC">
      <w:pPr>
        <w:pStyle w:val="ListParagraph"/>
        <w:jc w:val="both"/>
        <w:rPr>
          <w:rFonts w:cstheme="minorHAnsi"/>
          <w:i/>
          <w:color w:val="FF0000"/>
        </w:rPr>
      </w:pPr>
    </w:p>
    <w:p w14:paraId="633DB93E" w14:textId="15D73A99" w:rsidR="00C600FE" w:rsidRPr="0056688E" w:rsidRDefault="00CA110B" w:rsidP="00D94AEC">
      <w:pPr>
        <w:pStyle w:val="ListParagraph"/>
        <w:jc w:val="both"/>
        <w:rPr>
          <w:rFonts w:cstheme="minorHAnsi"/>
          <w:i/>
          <w:color w:val="2E74B5" w:themeColor="accent1" w:themeShade="BF"/>
        </w:rPr>
      </w:pPr>
      <w:r w:rsidRPr="0056688E">
        <w:rPr>
          <w:rFonts w:cstheme="minorHAnsi"/>
          <w:i/>
          <w:color w:val="2E74B5" w:themeColor="accent1" w:themeShade="BF"/>
        </w:rPr>
        <w:t>Essentially</w:t>
      </w:r>
      <w:r w:rsidR="005E5CAD" w:rsidRPr="0056688E">
        <w:rPr>
          <w:rFonts w:cstheme="minorHAnsi"/>
          <w:i/>
          <w:color w:val="2E74B5" w:themeColor="accent1" w:themeShade="BF"/>
        </w:rPr>
        <w:t xml:space="preserve">, the State should carry out the provisions outlined in 453D.200 and the local governments should not add to or take away from the subject matter in those same provisions at the local level. </w:t>
      </w:r>
      <w:r w:rsidRPr="0056688E">
        <w:rPr>
          <w:rFonts w:cstheme="minorHAnsi"/>
          <w:i/>
          <w:color w:val="2E74B5" w:themeColor="accent1" w:themeShade="BF"/>
        </w:rPr>
        <w:t xml:space="preserve">453D.200 (1) (h) will be exempt from this regulation. </w:t>
      </w:r>
    </w:p>
    <w:p w14:paraId="51F85FCE" w14:textId="77777777" w:rsidR="00E9081E" w:rsidRPr="00DC7DC9" w:rsidRDefault="00E9081E" w:rsidP="00752472">
      <w:pPr>
        <w:pStyle w:val="ListParagraph"/>
        <w:spacing w:after="0"/>
        <w:jc w:val="both"/>
        <w:rPr>
          <w:rFonts w:cstheme="minorHAnsi"/>
        </w:rPr>
      </w:pPr>
    </w:p>
    <w:p w14:paraId="40804B56" w14:textId="77777777" w:rsidR="00DD1A10" w:rsidRPr="00DC7DC9" w:rsidRDefault="00CC30A8" w:rsidP="00DC7DC9">
      <w:pPr>
        <w:pStyle w:val="ListParagraph"/>
        <w:numPr>
          <w:ilvl w:val="0"/>
          <w:numId w:val="1"/>
        </w:numPr>
        <w:spacing w:after="0"/>
        <w:rPr>
          <w:rFonts w:cstheme="minorHAnsi"/>
        </w:rPr>
      </w:pPr>
      <w:r w:rsidRPr="00DC7DC9">
        <w:rPr>
          <w:rFonts w:cstheme="minorHAnsi"/>
        </w:rPr>
        <w:t xml:space="preserve">Additional information (cost of implementation, priority according to the recommendations, </w:t>
      </w:r>
      <w:r w:rsidR="00096A68" w:rsidRPr="00DC7DC9">
        <w:rPr>
          <w:rFonts w:cstheme="minorHAnsi"/>
        </w:rPr>
        <w:t>etc.</w:t>
      </w:r>
      <w:r w:rsidRPr="00DC7DC9">
        <w:rPr>
          <w:rFonts w:cstheme="minorHAnsi"/>
        </w:rPr>
        <w:t>)</w:t>
      </w:r>
      <w:r w:rsidR="00B70E4E" w:rsidRPr="00DC7DC9">
        <w:rPr>
          <w:rFonts w:cstheme="minorHAnsi"/>
        </w:rPr>
        <w:t>.</w:t>
      </w:r>
    </w:p>
    <w:p w14:paraId="14D6F27E" w14:textId="77777777" w:rsidR="00753FA6" w:rsidRDefault="00753FA6" w:rsidP="003B7388">
      <w:pPr>
        <w:spacing w:after="0"/>
        <w:ind w:left="720"/>
        <w:rPr>
          <w:rFonts w:cstheme="minorHAnsi"/>
        </w:rPr>
      </w:pPr>
    </w:p>
    <w:p w14:paraId="152193DB" w14:textId="77777777" w:rsidR="003B7388" w:rsidRPr="00353063" w:rsidRDefault="003B7388" w:rsidP="003B7388">
      <w:pPr>
        <w:spacing w:after="0"/>
        <w:ind w:left="720"/>
        <w:rPr>
          <w:rFonts w:cstheme="minorHAnsi"/>
          <w:i/>
          <w:color w:val="0070C0"/>
        </w:rPr>
      </w:pPr>
      <w:r w:rsidRPr="00353063">
        <w:rPr>
          <w:rFonts w:cstheme="minorHAnsi"/>
          <w:i/>
          <w:color w:val="0070C0"/>
        </w:rPr>
        <w:t>Non</w:t>
      </w:r>
      <w:r w:rsidR="0024624D" w:rsidRPr="00353063">
        <w:rPr>
          <w:rFonts w:cstheme="minorHAnsi"/>
          <w:i/>
          <w:color w:val="0070C0"/>
        </w:rPr>
        <w:t>e</w:t>
      </w:r>
    </w:p>
    <w:p w14:paraId="4432085B" w14:textId="77777777" w:rsidR="00CC30A8" w:rsidRPr="00DC7DC9" w:rsidRDefault="00CC30A8" w:rsidP="007A4A8C">
      <w:pPr>
        <w:spacing w:after="0"/>
        <w:rPr>
          <w:rFonts w:cstheme="minorHAnsi"/>
        </w:rPr>
      </w:pPr>
    </w:p>
    <w:p w14:paraId="4E77760E" w14:textId="77777777" w:rsidR="00753FA6" w:rsidRPr="00DC7DC9" w:rsidRDefault="00753FA6" w:rsidP="009201F4">
      <w:pPr>
        <w:spacing w:after="0"/>
        <w:ind w:left="810" w:hanging="90"/>
        <w:rPr>
          <w:rFonts w:cstheme="minorHAnsi"/>
          <w:b/>
        </w:rPr>
      </w:pPr>
    </w:p>
    <w:sectPr w:rsidR="00753FA6" w:rsidRPr="00DC7DC9" w:rsidSect="00797F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944C0" w14:textId="77777777" w:rsidR="0017496E" w:rsidRDefault="0017496E" w:rsidP="00391997">
      <w:pPr>
        <w:spacing w:after="0" w:line="240" w:lineRule="auto"/>
      </w:pPr>
      <w:r>
        <w:separator/>
      </w:r>
    </w:p>
  </w:endnote>
  <w:endnote w:type="continuationSeparator" w:id="0">
    <w:p w14:paraId="61740A86" w14:textId="77777777" w:rsidR="0017496E" w:rsidRDefault="0017496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0AE9" w14:textId="1CEDBD2C" w:rsidR="00F43822" w:rsidRPr="00F43822" w:rsidRDefault="0056688E"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4" distB="4294967294" distL="114300" distR="114300" simplePos="0" relativeHeight="251659264" behindDoc="0" locked="0" layoutInCell="0" allowOverlap="1" wp14:anchorId="6DCC975D" wp14:editId="22A7DD1E">
              <wp:simplePos x="0" y="0"/>
              <wp:positionH relativeFrom="column">
                <wp:posOffset>0</wp:posOffset>
              </wp:positionH>
              <wp:positionV relativeFrom="paragraph">
                <wp:posOffset>-36831</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07ABA36F"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E874A4">
      <w:rPr>
        <w:rFonts w:ascii="Calibri" w:eastAsia="Times New Roman" w:hAnsi="Calibri" w:cs="Times New Roman"/>
        <w:b/>
        <w:i/>
        <w:color w:val="3737A5"/>
        <w:sz w:val="16"/>
        <w:szCs w:val="16"/>
      </w:rPr>
      <w:t>Local Government Regulation</w:t>
    </w:r>
    <w:r w:rsidR="00752472">
      <w:rPr>
        <w:rFonts w:ascii="Calibri" w:eastAsia="Times New Roman" w:hAnsi="Calibri" w:cs="Times New Roman"/>
        <w:bCs/>
        <w:i/>
        <w:color w:val="3737A5"/>
        <w:sz w:val="16"/>
        <w:szCs w:val="16"/>
      </w:rPr>
      <w:t xml:space="preserve"> – Recommendation</w:t>
    </w:r>
    <w:r w:rsidR="00752472">
      <w:rPr>
        <w:rFonts w:ascii="Calibri" w:eastAsia="Times New Roman" w:hAnsi="Calibri" w:cs="Times New Roman"/>
        <w:bCs/>
        <w:i/>
        <w:color w:val="3737A5"/>
        <w:sz w:val="16"/>
        <w:szCs w:val="16"/>
      </w:rPr>
      <w:tab/>
    </w:r>
    <w:r w:rsidR="00F43822" w:rsidRPr="00F43822">
      <w:rPr>
        <w:rFonts w:ascii="Calibri" w:eastAsia="Times New Roman" w:hAnsi="Calibri" w:cs="Times New Roman"/>
        <w:bCs/>
        <w:i/>
        <w:color w:val="3737A5"/>
        <w:sz w:val="16"/>
        <w:szCs w:val="16"/>
      </w:rPr>
      <w:tab/>
    </w:r>
    <w:r w:rsidR="00E874A4">
      <w:rPr>
        <w:rFonts w:ascii="Calibri" w:eastAsia="Times New Roman" w:hAnsi="Calibri" w:cs="Times New Roman"/>
        <w:bCs/>
        <w:i/>
        <w:color w:val="3737A5"/>
        <w:sz w:val="16"/>
        <w:szCs w:val="16"/>
      </w:rPr>
      <w:t>May 12</w:t>
    </w:r>
    <w:r w:rsidR="00FC1FA5">
      <w:rPr>
        <w:rFonts w:ascii="Calibri" w:eastAsia="Times New Roman" w:hAnsi="Calibri" w:cs="Times New Roman"/>
        <w:bCs/>
        <w:i/>
        <w:color w:val="3737A5"/>
        <w:sz w:val="16"/>
        <w:szCs w:val="16"/>
      </w:rPr>
      <w:t>, 2017</w:t>
    </w:r>
  </w:p>
  <w:p w14:paraId="6B2A752B" w14:textId="77777777"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6DDDB5F"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91B42" w14:textId="77777777" w:rsidR="0017496E" w:rsidRDefault="0017496E" w:rsidP="00391997">
      <w:pPr>
        <w:spacing w:after="0" w:line="240" w:lineRule="auto"/>
      </w:pPr>
      <w:r>
        <w:separator/>
      </w:r>
    </w:p>
  </w:footnote>
  <w:footnote w:type="continuationSeparator" w:id="0">
    <w:p w14:paraId="60602909" w14:textId="77777777" w:rsidR="0017496E" w:rsidRDefault="0017496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12D13" w14:textId="4268D736" w:rsidR="00F43822" w:rsidRPr="00F43822" w:rsidRDefault="00C62309" w:rsidP="008313F9">
    <w:pPr>
      <w:pStyle w:val="Heading2"/>
      <w:ind w:left="0"/>
      <w:jc w:val="center"/>
      <w:rPr>
        <w:sz w:val="22"/>
        <w:szCs w:val="22"/>
      </w:rPr>
    </w:pPr>
    <w:r>
      <w:rPr>
        <w:sz w:val="22"/>
        <w:szCs w:val="22"/>
      </w:rPr>
      <w:t>Local Government Regulation</w:t>
    </w:r>
    <w:r w:rsidR="007C50BC">
      <w:rPr>
        <w:sz w:val="22"/>
        <w:szCs w:val="22"/>
      </w:rPr>
      <w:t xml:space="preserve"> - Recommendation</w:t>
    </w:r>
  </w:p>
  <w:p w14:paraId="1C5AE4C8" w14:textId="77777777" w:rsidR="00391997" w:rsidRDefault="008313F9" w:rsidP="008313F9">
    <w:pPr>
      <w:pStyle w:val="Header"/>
      <w:jc w:val="center"/>
    </w:pPr>
    <w:r>
      <w:rPr>
        <w:noProof/>
      </w:rPr>
      <w:drawing>
        <wp:inline distT="0" distB="0" distL="0" distR="0" wp14:anchorId="4A5F9609" wp14:editId="500BBFDE">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C7F"/>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85116"/>
    <w:multiLevelType w:val="hybridMultilevel"/>
    <w:tmpl w:val="B038EC9A"/>
    <w:lvl w:ilvl="0" w:tplc="EEFA91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DD26AA"/>
    <w:multiLevelType w:val="hybridMultilevel"/>
    <w:tmpl w:val="FE46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42A17"/>
    <w:multiLevelType w:val="hybridMultilevel"/>
    <w:tmpl w:val="D0583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AB61B55"/>
    <w:multiLevelType w:val="hybridMultilevel"/>
    <w:tmpl w:val="A02C67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640216"/>
    <w:multiLevelType w:val="hybridMultilevel"/>
    <w:tmpl w:val="5AF61B80"/>
    <w:lvl w:ilvl="0" w:tplc="AE440B1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56B67A7"/>
    <w:multiLevelType w:val="hybridMultilevel"/>
    <w:tmpl w:val="45CE7BA0"/>
    <w:lvl w:ilvl="0" w:tplc="AE440B1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77B4BF6"/>
    <w:multiLevelType w:val="hybridMultilevel"/>
    <w:tmpl w:val="6212AA22"/>
    <w:lvl w:ilvl="0" w:tplc="81FC2F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2A05F0"/>
    <w:multiLevelType w:val="hybridMultilevel"/>
    <w:tmpl w:val="28C8F1A2"/>
    <w:lvl w:ilvl="0" w:tplc="E0C20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D63F27"/>
    <w:multiLevelType w:val="hybridMultilevel"/>
    <w:tmpl w:val="E38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0"/>
  </w:num>
  <w:num w:numId="5">
    <w:abstractNumId w:val="4"/>
  </w:num>
  <w:num w:numId="6">
    <w:abstractNumId w:val="3"/>
  </w:num>
  <w:num w:numId="7">
    <w:abstractNumId w:val="1"/>
  </w:num>
  <w:num w:numId="8">
    <w:abstractNumId w:val="6"/>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62D24"/>
    <w:rsid w:val="00096A68"/>
    <w:rsid w:val="000A61D0"/>
    <w:rsid w:val="000B01A4"/>
    <w:rsid w:val="000E3650"/>
    <w:rsid w:val="00114EF2"/>
    <w:rsid w:val="0017496E"/>
    <w:rsid w:val="001866F9"/>
    <w:rsid w:val="001A10F5"/>
    <w:rsid w:val="001B0ADC"/>
    <w:rsid w:val="001B10FF"/>
    <w:rsid w:val="00202E4C"/>
    <w:rsid w:val="0023729A"/>
    <w:rsid w:val="0024624D"/>
    <w:rsid w:val="002F74B7"/>
    <w:rsid w:val="003110FB"/>
    <w:rsid w:val="00353063"/>
    <w:rsid w:val="003622A8"/>
    <w:rsid w:val="00391997"/>
    <w:rsid w:val="003B7388"/>
    <w:rsid w:val="004039AB"/>
    <w:rsid w:val="00425FC4"/>
    <w:rsid w:val="00434BF0"/>
    <w:rsid w:val="00435662"/>
    <w:rsid w:val="00440ED8"/>
    <w:rsid w:val="00442A3F"/>
    <w:rsid w:val="00445D71"/>
    <w:rsid w:val="004837A4"/>
    <w:rsid w:val="00565923"/>
    <w:rsid w:val="0056688E"/>
    <w:rsid w:val="005D72ED"/>
    <w:rsid w:val="005E102D"/>
    <w:rsid w:val="005E5CAD"/>
    <w:rsid w:val="006940B6"/>
    <w:rsid w:val="006B0A7E"/>
    <w:rsid w:val="006D4662"/>
    <w:rsid w:val="00700DCA"/>
    <w:rsid w:val="00752472"/>
    <w:rsid w:val="00753FA6"/>
    <w:rsid w:val="007746E2"/>
    <w:rsid w:val="00774894"/>
    <w:rsid w:val="007765FD"/>
    <w:rsid w:val="00797F30"/>
    <w:rsid w:val="007A4A8C"/>
    <w:rsid w:val="007C50BC"/>
    <w:rsid w:val="007F714D"/>
    <w:rsid w:val="008313F9"/>
    <w:rsid w:val="00882EE9"/>
    <w:rsid w:val="008D4124"/>
    <w:rsid w:val="008D5094"/>
    <w:rsid w:val="008F0634"/>
    <w:rsid w:val="00907321"/>
    <w:rsid w:val="009201F4"/>
    <w:rsid w:val="009264B2"/>
    <w:rsid w:val="00944F66"/>
    <w:rsid w:val="00957E83"/>
    <w:rsid w:val="00961D8A"/>
    <w:rsid w:val="009805E6"/>
    <w:rsid w:val="00996A51"/>
    <w:rsid w:val="009D1938"/>
    <w:rsid w:val="00A312E6"/>
    <w:rsid w:val="00A65F54"/>
    <w:rsid w:val="00AA7EAD"/>
    <w:rsid w:val="00AB71F7"/>
    <w:rsid w:val="00B11C15"/>
    <w:rsid w:val="00B70E4E"/>
    <w:rsid w:val="00BB4F4E"/>
    <w:rsid w:val="00BC0B03"/>
    <w:rsid w:val="00BC0F10"/>
    <w:rsid w:val="00BF6BBC"/>
    <w:rsid w:val="00C21906"/>
    <w:rsid w:val="00C600FE"/>
    <w:rsid w:val="00C62309"/>
    <w:rsid w:val="00C74F4F"/>
    <w:rsid w:val="00C762AE"/>
    <w:rsid w:val="00C81608"/>
    <w:rsid w:val="00CA110B"/>
    <w:rsid w:val="00CC30A8"/>
    <w:rsid w:val="00D22E65"/>
    <w:rsid w:val="00D72C8F"/>
    <w:rsid w:val="00D926ED"/>
    <w:rsid w:val="00D94AEC"/>
    <w:rsid w:val="00DA287B"/>
    <w:rsid w:val="00DC4C91"/>
    <w:rsid w:val="00DC7DC9"/>
    <w:rsid w:val="00DD1A10"/>
    <w:rsid w:val="00DE0ABD"/>
    <w:rsid w:val="00DF041E"/>
    <w:rsid w:val="00E874A4"/>
    <w:rsid w:val="00E9081E"/>
    <w:rsid w:val="00E96CEA"/>
    <w:rsid w:val="00EC03A5"/>
    <w:rsid w:val="00EF3E3A"/>
    <w:rsid w:val="00F046BC"/>
    <w:rsid w:val="00F27CF2"/>
    <w:rsid w:val="00F43822"/>
    <w:rsid w:val="00F62FF5"/>
    <w:rsid w:val="00FC1FA5"/>
    <w:rsid w:val="00FD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93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30"/>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empty">
    <w:name w:val="empty"/>
    <w:basedOn w:val="DefaultParagraphFont"/>
    <w:rsid w:val="005E5CAD"/>
  </w:style>
  <w:style w:type="character" w:customStyle="1" w:styleId="section">
    <w:name w:val="section"/>
    <w:basedOn w:val="DefaultParagraphFont"/>
    <w:rsid w:val="005E5CAD"/>
  </w:style>
  <w:style w:type="character" w:customStyle="1" w:styleId="leadline">
    <w:name w:val="leadline"/>
    <w:basedOn w:val="DefaultParagraphFont"/>
    <w:rsid w:val="005E5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30"/>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empty">
    <w:name w:val="empty"/>
    <w:basedOn w:val="DefaultParagraphFont"/>
    <w:rsid w:val="005E5CAD"/>
  </w:style>
  <w:style w:type="character" w:customStyle="1" w:styleId="section">
    <w:name w:val="section"/>
    <w:basedOn w:val="DefaultParagraphFont"/>
    <w:rsid w:val="005E5CAD"/>
  </w:style>
  <w:style w:type="character" w:customStyle="1" w:styleId="leadline">
    <w:name w:val="leadline"/>
    <w:basedOn w:val="DefaultParagraphFont"/>
    <w:rsid w:val="005E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41714">
      <w:bodyDiv w:val="1"/>
      <w:marLeft w:val="0"/>
      <w:marRight w:val="0"/>
      <w:marTop w:val="0"/>
      <w:marBottom w:val="0"/>
      <w:divBdr>
        <w:top w:val="none" w:sz="0" w:space="0" w:color="auto"/>
        <w:left w:val="none" w:sz="0" w:space="0" w:color="auto"/>
        <w:bottom w:val="none" w:sz="0" w:space="0" w:color="auto"/>
        <w:right w:val="none" w:sz="0" w:space="0" w:color="auto"/>
      </w:divBdr>
    </w:div>
    <w:div w:id="1293710254">
      <w:bodyDiv w:val="1"/>
      <w:marLeft w:val="0"/>
      <w:marRight w:val="0"/>
      <w:marTop w:val="0"/>
      <w:marBottom w:val="0"/>
      <w:divBdr>
        <w:top w:val="none" w:sz="0" w:space="0" w:color="auto"/>
        <w:left w:val="none" w:sz="0" w:space="0" w:color="auto"/>
        <w:bottom w:val="none" w:sz="0" w:space="0" w:color="auto"/>
        <w:right w:val="none" w:sz="0" w:space="0" w:color="auto"/>
      </w:divBdr>
    </w:div>
    <w:div w:id="20908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DC58-2C98-4D55-ADAD-59B289E9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2017-04-21T18:33:00Z</dcterms:created>
  <dcterms:modified xsi:type="dcterms:W3CDTF">2017-04-21T18:33:00Z</dcterms:modified>
</cp:coreProperties>
</file>